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left="210" w:leftChars="100" w:right="210" w:rightChars="10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left="210" w:leftChars="100" w:right="210" w:rightChars="10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05</w:t>
      </w:r>
    </w:p>
    <w:p>
      <w:pPr>
        <w:spacing w:line="360" w:lineRule="auto"/>
        <w:ind w:left="210" w:leftChars="100" w:right="210" w:rightChars="10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eastAsia="黑体"/>
          <w:b/>
          <w:bCs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asci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eastAsia="黑体"/>
          <w:b/>
          <w:bCs/>
          <w:color w:val="000000"/>
          <w:sz w:val="36"/>
          <w:szCs w:val="36"/>
        </w:rPr>
        <w:t>木榄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bookmarkStart w:id="5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Mulan</w:t>
      </w:r>
    </w:p>
    <w:bookmarkEnd w:id="5"/>
    <w:p>
      <w:pPr>
        <w:jc w:val="center"/>
        <w:rPr>
          <w:rFonts w:ascii="等线" w:hAnsi="等线" w:eastAsia="等线"/>
          <w:b/>
          <w:bCs/>
          <w:szCs w:val="21"/>
        </w:rPr>
      </w:pPr>
      <w:r>
        <w:rPr>
          <w:rFonts w:hint="eastAsia" w:ascii="Times New Roman" w:hAnsi="Times New Roman" w:eastAsia="等线"/>
          <w:b/>
          <w:bCs/>
          <w:caps/>
          <w:sz w:val="28"/>
          <w:szCs w:val="28"/>
        </w:rPr>
        <w:t>Bruguiera</w:t>
      </w:r>
      <w:r>
        <w:rPr>
          <w:rFonts w:hint="eastAsia" w:ascii="Times New Roman" w:hAnsi="Times New Roman" w:eastAsia="等线"/>
          <w:b/>
          <w:bCs/>
          <w:caps/>
          <w:sz w:val="28"/>
          <w:szCs w:val="28"/>
          <w:lang w:val="en-US" w:eastAsia="zh-CN"/>
        </w:rPr>
        <w:t>E</w:t>
      </w:r>
      <w:r>
        <w:rPr>
          <w:rFonts w:hint="eastAsia" w:ascii="Times New Roman" w:hAnsi="Times New Roman" w:eastAsia="等线"/>
          <w:b/>
          <w:bCs/>
          <w:caps/>
          <w:sz w:val="28"/>
          <w:szCs w:val="28"/>
        </w:rPr>
        <w:t xml:space="preserve"> gymnorrhiza</w:t>
      </w:r>
      <w:r>
        <w:rPr>
          <w:rFonts w:hint="eastAsia" w:ascii="Times New Roman" w:hAnsi="Times New Roman" w:eastAsia="等线"/>
          <w:b/>
          <w:bCs/>
          <w:caps/>
          <w:sz w:val="28"/>
          <w:szCs w:val="28"/>
          <w:lang w:val="en-US" w:eastAsia="zh-CN"/>
        </w:rPr>
        <w:t>E</w:t>
      </w:r>
      <w:r>
        <w:rPr>
          <w:rFonts w:hint="eastAsia" w:ascii="Times New Roman" w:hAnsi="Times New Roman" w:eastAsia="等线"/>
          <w:b/>
          <w:bCs/>
          <w:sz w:val="28"/>
          <w:szCs w:val="28"/>
        </w:rPr>
        <w:t xml:space="preserve"> CACU</w:t>
      </w:r>
      <w:r>
        <w:rPr>
          <w:rFonts w:hint="eastAsia" w:ascii="Times New Roman" w:hAnsi="Times New Roman" w:eastAsia="等线"/>
          <w:b/>
          <w:bCs/>
          <w:sz w:val="28"/>
          <w:szCs w:val="28"/>
          <w:lang w:val="en-US" w:eastAsia="zh-CN"/>
        </w:rPr>
        <w:t>LIS</w:t>
      </w:r>
      <w:r>
        <w:rPr>
          <w:rFonts w:hint="eastAsia" w:ascii="Times New Roman" w:hAnsi="Times New Roman" w:eastAsia="等线"/>
          <w:b/>
          <w:bCs/>
          <w:sz w:val="28"/>
          <w:szCs w:val="28"/>
        </w:rPr>
        <w:t xml:space="preserve"> </w:t>
      </w:r>
      <w:r>
        <w:rPr>
          <w:rFonts w:hint="eastAsia" w:ascii="Times New Roman" w:hAnsi="Times New Roman" w:eastAsia="等线"/>
          <w:b/>
          <w:bCs/>
          <w:sz w:val="28"/>
          <w:szCs w:val="28"/>
          <w:lang w:val="en-US" w:eastAsia="zh-CN"/>
        </w:rPr>
        <w:t>ET</w:t>
      </w:r>
      <w:r>
        <w:rPr>
          <w:rFonts w:hint="eastAsia" w:ascii="Times New Roman" w:hAnsi="Times New Roman" w:eastAsia="等线"/>
          <w:b/>
          <w:bCs/>
          <w:sz w:val="28"/>
          <w:szCs w:val="28"/>
        </w:rPr>
        <w:t xml:space="preserve"> FOLIUM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kern w:val="0"/>
          <w:sz w:val="24"/>
          <w:szCs w:val="24"/>
        </w:rPr>
        <w:t>本品为</w:t>
      </w:r>
      <w:r>
        <w:rPr>
          <w:rFonts w:hint="eastAsia"/>
          <w:sz w:val="24"/>
          <w:szCs w:val="28"/>
        </w:rPr>
        <w:t>红树科植物木榄</w:t>
      </w:r>
      <w:bookmarkStart w:id="0" w:name="_Hlk209394749"/>
      <w:r>
        <w:rPr>
          <w:rFonts w:ascii="Times New Roman" w:hAnsi="Times New Roman"/>
          <w:i/>
          <w:iCs/>
          <w:sz w:val="24"/>
          <w:szCs w:val="28"/>
        </w:rPr>
        <w:t>Bruguiera gymnorrhiza</w:t>
      </w:r>
      <w:bookmarkEnd w:id="0"/>
      <w:r>
        <w:rPr>
          <w:rFonts w:hint="eastAsia" w:ascii="Times New Roman" w:hAnsi="Times New Roman"/>
          <w:i w:val="0"/>
          <w:iCs w:val="0"/>
          <w:sz w:val="24"/>
          <w:szCs w:val="28"/>
          <w:lang w:val="en-US" w:eastAsia="zh-CN"/>
        </w:rPr>
        <w:t>（L.）</w:t>
      </w:r>
      <w:r>
        <w:rPr>
          <w:rFonts w:hint="eastAsia" w:ascii="Times New Roman" w:hAnsi="Times New Roman"/>
          <w:kern w:val="0"/>
          <w:sz w:val="24"/>
          <w:szCs w:val="24"/>
        </w:rPr>
        <w:t>的干燥</w:t>
      </w:r>
      <w:r>
        <w:rPr>
          <w:rFonts w:hint="eastAsia" w:ascii="Times New Roman" w:hAnsi="Times New Roman"/>
          <w:kern w:val="0"/>
          <w:sz w:val="24"/>
          <w:szCs w:val="24"/>
          <w:lang w:eastAsia="zh-CN"/>
        </w:rPr>
        <w:t>茎枝和</w:t>
      </w:r>
      <w:r>
        <w:rPr>
          <w:rFonts w:hint="eastAsia" w:ascii="Times New Roman" w:hAnsi="Times New Roman"/>
          <w:kern w:val="0"/>
          <w:sz w:val="24"/>
          <w:szCs w:val="24"/>
        </w:rPr>
        <w:t>叶。</w:t>
      </w:r>
      <w:r>
        <w:rPr>
          <w:rFonts w:ascii="Times New Roman" w:hAnsi="Times New Roman"/>
          <w:color w:val="000000"/>
          <w:sz w:val="24"/>
        </w:rPr>
        <w:t>全年</w:t>
      </w:r>
      <w:r>
        <w:rPr>
          <w:rFonts w:hint="eastAsia" w:ascii="Times New Roman" w:hAnsi="Times New Roman"/>
          <w:color w:val="000000"/>
          <w:sz w:val="24"/>
        </w:rPr>
        <w:t>可采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hint="eastAsia" w:ascii="Times New Roman" w:hAnsi="Times New Roman"/>
          <w:color w:val="000000"/>
          <w:sz w:val="24"/>
        </w:rPr>
        <w:t>除去杂质</w:t>
      </w:r>
      <w:r>
        <w:rPr>
          <w:rFonts w:ascii="Times New Roman" w:hAnsi="Times New Roman"/>
          <w:color w:val="000000"/>
          <w:sz w:val="24"/>
        </w:rPr>
        <w:t>，干燥。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【性状】</w:t>
      </w:r>
      <w:r>
        <w:rPr>
          <w:rFonts w:hint="eastAsia" w:ascii="Times New Roman" w:hAnsi="Times New Roman"/>
          <w:sz w:val="24"/>
        </w:rPr>
        <w:t>本品</w:t>
      </w:r>
      <w:r>
        <w:rPr>
          <w:rFonts w:ascii="Times New Roman" w:hAnsi="Times New Roman"/>
          <w:sz w:val="24"/>
        </w:rPr>
        <w:t>茎</w:t>
      </w:r>
      <w:r>
        <w:rPr>
          <w:rFonts w:hint="eastAsia" w:ascii="Times New Roman" w:hAnsi="Times New Roman"/>
          <w:sz w:val="24"/>
          <w:lang w:val="en-US" w:eastAsia="zh-CN"/>
        </w:rPr>
        <w:t>枝</w:t>
      </w:r>
      <w:r>
        <w:rPr>
          <w:rFonts w:hint="eastAsia" w:ascii="Times New Roman" w:hAnsi="Times New Roman"/>
          <w:sz w:val="24"/>
        </w:rPr>
        <w:t>呈</w:t>
      </w:r>
      <w:r>
        <w:rPr>
          <w:rFonts w:ascii="Times New Roman" w:hAnsi="Times New Roman"/>
          <w:sz w:val="24"/>
        </w:rPr>
        <w:t>圆柱状，表面</w:t>
      </w:r>
      <w:r>
        <w:rPr>
          <w:rFonts w:hint="eastAsia" w:ascii="Times New Roman" w:hAnsi="Times New Roman"/>
          <w:sz w:val="24"/>
        </w:rPr>
        <w:t>灰褐色</w:t>
      </w:r>
      <w:r>
        <w:rPr>
          <w:rFonts w:ascii="Times New Roman" w:hAnsi="Times New Roman"/>
          <w:sz w:val="24"/>
        </w:rPr>
        <w:t>，有细纵纹及枝痕</w:t>
      </w:r>
      <w:r>
        <w:rPr>
          <w:rFonts w:hint="eastAsia"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质坚韧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断面</w:t>
      </w:r>
      <w:r>
        <w:rPr>
          <w:rFonts w:ascii="Times New Roman" w:hAnsi="Times New Roman"/>
          <w:sz w:val="24"/>
        </w:rPr>
        <w:t>木部</w:t>
      </w:r>
      <w:r>
        <w:rPr>
          <w:rFonts w:hint="eastAsia" w:ascii="Times New Roman" w:hAnsi="Times New Roman"/>
          <w:sz w:val="24"/>
        </w:rPr>
        <w:t>黄</w:t>
      </w:r>
      <w:r>
        <w:rPr>
          <w:rFonts w:ascii="Times New Roman" w:hAnsi="Times New Roman"/>
          <w:sz w:val="24"/>
        </w:rPr>
        <w:t>白色</w:t>
      </w:r>
      <w:r>
        <w:rPr>
          <w:rFonts w:hint="eastAsia" w:ascii="Times New Roman" w:hAnsi="Times New Roman"/>
          <w:sz w:val="24"/>
        </w:rPr>
        <w:t>，部分中空</w:t>
      </w:r>
      <w:r>
        <w:rPr>
          <w:rFonts w:ascii="Times New Roman" w:hAnsi="Times New Roman"/>
          <w:sz w:val="24"/>
        </w:rPr>
        <w:t>。</w:t>
      </w:r>
      <w:r>
        <w:rPr>
          <w:rFonts w:hint="eastAsia" w:ascii="Times New Roman" w:hAnsi="Times New Roman"/>
          <w:sz w:val="24"/>
        </w:rPr>
        <w:t>叶</w:t>
      </w:r>
      <w:r>
        <w:rPr>
          <w:rFonts w:ascii="Times New Roman" w:hAnsi="Times New Roman"/>
          <w:sz w:val="24"/>
        </w:rPr>
        <w:t>多</w:t>
      </w:r>
      <w:r>
        <w:rPr>
          <w:rFonts w:hint="eastAsia" w:ascii="Times New Roman" w:hAnsi="Times New Roman"/>
          <w:sz w:val="24"/>
        </w:rPr>
        <w:t>卷曲、</w:t>
      </w:r>
      <w:r>
        <w:rPr>
          <w:rFonts w:ascii="Times New Roman" w:hAnsi="Times New Roman"/>
          <w:sz w:val="24"/>
        </w:rPr>
        <w:t>破碎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ascii="Times New Roman" w:hAnsi="Times New Roman"/>
          <w:sz w:val="24"/>
        </w:rPr>
        <w:t>完整</w:t>
      </w:r>
      <w:r>
        <w:rPr>
          <w:rFonts w:hint="eastAsia" w:ascii="Times New Roman" w:hAnsi="Times New Roman"/>
          <w:sz w:val="24"/>
          <w:lang w:val="en-US" w:eastAsia="zh-CN"/>
        </w:rPr>
        <w:t>者</w:t>
      </w:r>
      <w:r>
        <w:rPr>
          <w:rFonts w:ascii="Times New Roman" w:hAnsi="Times New Roman"/>
          <w:sz w:val="24"/>
        </w:rPr>
        <w:t>展</w:t>
      </w:r>
      <w:r>
        <w:rPr>
          <w:rFonts w:hint="eastAsia" w:ascii="Times New Roman" w:hAnsi="Times New Roman"/>
          <w:sz w:val="24"/>
          <w:lang w:val="en-US" w:eastAsia="zh-CN"/>
        </w:rPr>
        <w:t>平</w:t>
      </w:r>
      <w:r>
        <w:rPr>
          <w:rFonts w:ascii="Times New Roman" w:hAnsi="Times New Roman"/>
          <w:sz w:val="24"/>
        </w:rPr>
        <w:t>后呈椭圆形或狭椭圆形，暗</w:t>
      </w:r>
      <w:r>
        <w:rPr>
          <w:rFonts w:hint="eastAsia" w:ascii="Times New Roman" w:hAnsi="Times New Roman"/>
          <w:sz w:val="24"/>
        </w:rPr>
        <w:t>黄褐色</w:t>
      </w:r>
      <w:r>
        <w:rPr>
          <w:rFonts w:ascii="Times New Roman" w:hAnsi="Times New Roman"/>
          <w:sz w:val="24"/>
        </w:rPr>
        <w:t>或绿褐色，长</w:t>
      </w:r>
      <w:r>
        <w:rPr>
          <w:rFonts w:hint="eastAsia" w:ascii="Times New Roman" w:hAnsi="Times New Roman"/>
          <w:sz w:val="24"/>
          <w:lang w:val="en-US" w:eastAsia="zh-CN"/>
        </w:rPr>
        <w:t>5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sz w:val="24"/>
          <w:lang w:val="en-US" w:eastAsia="zh-CN"/>
        </w:rPr>
        <w:t>15</w:t>
      </w:r>
      <w:r>
        <w:rPr>
          <w:rFonts w:hint="eastAsia" w:ascii="Times New Roman" w:hAnsi="Times New Roman"/>
          <w:sz w:val="24"/>
        </w:rPr>
        <w:t>cm</w:t>
      </w:r>
      <w:r>
        <w:rPr>
          <w:rFonts w:ascii="Times New Roman" w:hAnsi="Times New Roman"/>
          <w:sz w:val="24"/>
        </w:rPr>
        <w:t>，宽</w:t>
      </w:r>
      <w:r>
        <w:rPr>
          <w:rFonts w:hint="eastAsia"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sz w:val="24"/>
        </w:rPr>
        <w:t>7cm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先</w:t>
      </w:r>
      <w:r>
        <w:rPr>
          <w:rFonts w:ascii="Times New Roman" w:hAnsi="Times New Roman"/>
          <w:sz w:val="24"/>
        </w:rPr>
        <w:t>端短尖，</w:t>
      </w:r>
      <w:bookmarkStart w:id="1" w:name="OLE_LINK6"/>
      <w:r>
        <w:rPr>
          <w:rFonts w:hint="eastAsia" w:ascii="Times New Roman" w:hAnsi="Times New Roman"/>
          <w:sz w:val="24"/>
          <w:lang w:val="en-US" w:eastAsia="zh-CN"/>
        </w:rPr>
        <w:t>基部楔形，</w:t>
      </w:r>
      <w:r>
        <w:rPr>
          <w:rFonts w:ascii="Times New Roman" w:hAnsi="Times New Roman"/>
          <w:sz w:val="24"/>
        </w:rPr>
        <w:t>全缘，</w:t>
      </w:r>
      <w:r>
        <w:rPr>
          <w:rFonts w:hint="eastAsia" w:ascii="Times New Roman" w:hAnsi="Times New Roman"/>
          <w:sz w:val="24"/>
          <w:lang w:val="en-US" w:eastAsia="zh-CN"/>
        </w:rPr>
        <w:t>两面</w:t>
      </w:r>
      <w:r>
        <w:rPr>
          <w:rFonts w:ascii="Times New Roman" w:hAnsi="Times New Roman"/>
          <w:sz w:val="24"/>
        </w:rPr>
        <w:t>光滑</w:t>
      </w:r>
      <w:r>
        <w:rPr>
          <w:rFonts w:hint="eastAsia" w:ascii="Times New Roman" w:hAnsi="Times New Roman"/>
          <w:sz w:val="24"/>
          <w:lang w:eastAsia="zh-CN"/>
        </w:rPr>
        <w:t>，</w:t>
      </w:r>
      <w:r>
        <w:rPr>
          <w:rFonts w:ascii="Times New Roman" w:hAnsi="Times New Roman"/>
          <w:sz w:val="24"/>
        </w:rPr>
        <w:t>革质。</w:t>
      </w:r>
      <w:bookmarkEnd w:id="1"/>
      <w:r>
        <w:rPr>
          <w:rFonts w:ascii="Times New Roman" w:hAnsi="Times New Roman"/>
          <w:sz w:val="24"/>
        </w:rPr>
        <w:t>气微，味涩微苦。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黑体" w:hAnsi="黑体" w:eastAsia="黑体" w:cs="黑体"/>
          <w:sz w:val="24"/>
          <w:szCs w:val="24"/>
        </w:rPr>
        <w:t>【鉴别】</w:t>
      </w:r>
      <w:r>
        <w:rPr>
          <w:rFonts w:ascii="Times New Roman" w:hAnsi="Times New Roman" w:eastAsia="黑体"/>
          <w:sz w:val="24"/>
          <w:szCs w:val="24"/>
        </w:rPr>
        <w:t>（1）</w:t>
      </w:r>
      <w:r>
        <w:rPr>
          <w:rFonts w:ascii="Times New Roman" w:hAnsi="Times New Roman"/>
          <w:sz w:val="24"/>
          <w:szCs w:val="24"/>
        </w:rPr>
        <w:t>本品粉末</w:t>
      </w:r>
      <w:r>
        <w:rPr>
          <w:rFonts w:hint="eastAsia" w:ascii="Times New Roman" w:hAnsi="Times New Roman"/>
          <w:sz w:val="24"/>
        </w:rPr>
        <w:t>呈</w:t>
      </w:r>
      <w:r>
        <w:rPr>
          <w:rFonts w:ascii="Times New Roman" w:hAnsi="Times New Roman"/>
          <w:sz w:val="24"/>
        </w:rPr>
        <w:t>黄褐色。纤维较多，</w:t>
      </w:r>
      <w:r>
        <w:rPr>
          <w:rFonts w:hint="eastAsia" w:ascii="Times New Roman" w:hAnsi="Times New Roman"/>
          <w:sz w:val="24"/>
          <w:lang w:val="en-US" w:eastAsia="zh-CN"/>
        </w:rPr>
        <w:t>散在</w:t>
      </w:r>
      <w:r>
        <w:rPr>
          <w:rFonts w:hint="eastAsia" w:ascii="Times New Roman" w:hAnsi="Times New Roman"/>
          <w:sz w:val="24"/>
        </w:rPr>
        <w:t>或成束，</w:t>
      </w:r>
      <w:r>
        <w:rPr>
          <w:rFonts w:ascii="Times New Roman" w:hAnsi="Times New Roman"/>
          <w:sz w:val="24"/>
        </w:rPr>
        <w:t>壁厚，胞腔线形</w:t>
      </w:r>
      <w:r>
        <w:rPr>
          <w:rFonts w:hint="eastAsia" w:ascii="Times New Roman" w:hAnsi="Times New Roman"/>
          <w:sz w:val="24"/>
        </w:rPr>
        <w:t>。</w:t>
      </w:r>
      <w:r>
        <w:rPr>
          <w:rFonts w:ascii="Times New Roman" w:hAnsi="Times New Roman"/>
          <w:sz w:val="24"/>
        </w:rPr>
        <w:t>草酸钙簇晶</w:t>
      </w:r>
      <w:r>
        <w:rPr>
          <w:rFonts w:hint="eastAsia" w:ascii="Times New Roman" w:hAnsi="Times New Roman"/>
          <w:color w:val="000000"/>
          <w:sz w:val="24"/>
        </w:rPr>
        <w:t>直径5</w:t>
      </w:r>
      <w:r>
        <w:rPr>
          <w:rFonts w:ascii="Times New Roman" w:hAnsi="Times New Roman"/>
          <w:sz w:val="24"/>
        </w:rPr>
        <w:t>～</w:t>
      </w:r>
      <w:r>
        <w:rPr>
          <w:rFonts w:hint="eastAsia" w:ascii="Times New Roman" w:hAnsi="Times New Roman"/>
          <w:color w:val="000000"/>
          <w:sz w:val="24"/>
        </w:rPr>
        <w:t>46</w:t>
      </w:r>
      <w:r>
        <w:rPr>
          <w:rFonts w:ascii="Times New Roman" w:hAnsi="Times New Roman"/>
          <w:color w:val="000000"/>
          <w:sz w:val="24"/>
        </w:rPr>
        <w:t>μm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val="en-US" w:eastAsia="zh-CN"/>
        </w:rPr>
        <w:t>散</w:t>
      </w:r>
      <w:r>
        <w:rPr>
          <w:rFonts w:ascii="Times New Roman" w:hAnsi="Times New Roman"/>
          <w:sz w:val="24"/>
        </w:rPr>
        <w:t>在</w:t>
      </w:r>
      <w:r>
        <w:rPr>
          <w:rFonts w:hint="eastAsia" w:ascii="Times New Roman" w:hAnsi="Times New Roman"/>
          <w:sz w:val="24"/>
          <w:lang w:val="en-US" w:eastAsia="zh-CN"/>
        </w:rPr>
        <w:t>或存在于</w:t>
      </w:r>
      <w:r>
        <w:rPr>
          <w:rFonts w:ascii="Times New Roman" w:hAnsi="Times New Roman"/>
          <w:sz w:val="24"/>
        </w:rPr>
        <w:t>薄壁细胞中</w:t>
      </w:r>
      <w:r>
        <w:rPr>
          <w:rFonts w:ascii="Times New Roman" w:hAnsi="Times New Roman"/>
          <w:color w:val="000000"/>
          <w:sz w:val="24"/>
        </w:rPr>
        <w:t>。</w:t>
      </w:r>
      <w:r>
        <w:rPr>
          <w:rFonts w:ascii="Times New Roman" w:hAnsi="Times New Roman"/>
          <w:sz w:val="24"/>
        </w:rPr>
        <w:t>表皮细胞呈</w:t>
      </w:r>
      <w:r>
        <w:rPr>
          <w:rFonts w:hint="eastAsia" w:ascii="Times New Roman" w:hAnsi="Times New Roman"/>
          <w:sz w:val="24"/>
        </w:rPr>
        <w:t>多角形或不规则形，</w:t>
      </w:r>
      <w:r>
        <w:rPr>
          <w:rFonts w:ascii="Times New Roman" w:hAnsi="Times New Roman"/>
          <w:color w:val="000000"/>
          <w:sz w:val="24"/>
        </w:rPr>
        <w:t>气孔多为</w:t>
      </w:r>
      <w:bookmarkStart w:id="2" w:name="OLE_LINK2"/>
      <w:r>
        <w:rPr>
          <w:rFonts w:ascii="Times New Roman" w:hAnsi="Times New Roman"/>
          <w:color w:val="000000"/>
          <w:sz w:val="24"/>
        </w:rPr>
        <w:t>平</w:t>
      </w:r>
      <w:r>
        <w:rPr>
          <w:rFonts w:ascii="Times New Roman" w:hAnsi="Times New Roman"/>
          <w:sz w:val="24"/>
        </w:rPr>
        <w:t>轴式</w:t>
      </w:r>
      <w:bookmarkEnd w:id="2"/>
      <w:r>
        <w:rPr>
          <w:rFonts w:ascii="Times New Roman" w:hAnsi="Times New Roman"/>
          <w:sz w:val="24"/>
        </w:rPr>
        <w:t>。</w:t>
      </w:r>
      <w:r>
        <w:rPr>
          <w:rFonts w:hint="eastAsia" w:ascii="Times New Roman" w:hAnsi="Times New Roman"/>
          <w:sz w:val="24"/>
          <w:lang w:val="en-US" w:eastAsia="zh-CN"/>
        </w:rPr>
        <w:t>可见</w:t>
      </w:r>
      <w:r>
        <w:rPr>
          <w:rFonts w:ascii="Times New Roman" w:hAnsi="Times New Roman"/>
          <w:color w:val="000000"/>
          <w:sz w:val="24"/>
        </w:rPr>
        <w:t>螺纹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及</w:t>
      </w:r>
      <w:r>
        <w:rPr>
          <w:rFonts w:ascii="Times New Roman" w:hAnsi="Times New Roman"/>
          <w:color w:val="000000"/>
          <w:sz w:val="24"/>
        </w:rPr>
        <w:t>网纹</w:t>
      </w:r>
      <w:r>
        <w:rPr>
          <w:rFonts w:hint="eastAsia" w:ascii="Times New Roman" w:hAnsi="Times New Roman"/>
          <w:color w:val="000000"/>
          <w:sz w:val="24"/>
        </w:rPr>
        <w:t>导管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（2）</w:t>
      </w:r>
      <w:r>
        <w:rPr>
          <w:rFonts w:ascii="Times New Roman" w:hAnsi="Times New Roman"/>
          <w:color w:val="000000"/>
          <w:sz w:val="24"/>
        </w:rPr>
        <w:t>取</w:t>
      </w:r>
      <w:r>
        <w:rPr>
          <w:rFonts w:hint="eastAsia" w:ascii="Times New Roman" w:hAnsi="Times New Roman"/>
          <w:color w:val="000000"/>
          <w:sz w:val="24"/>
        </w:rPr>
        <w:t>本品</w:t>
      </w:r>
      <w:r>
        <w:rPr>
          <w:rFonts w:ascii="Times New Roman" w:hAnsi="Times New Roman"/>
          <w:color w:val="000000"/>
          <w:sz w:val="24"/>
        </w:rPr>
        <w:t>粉末</w:t>
      </w:r>
      <w:bookmarkStart w:id="3" w:name="OLE_LINK18"/>
      <w:r>
        <w:rPr>
          <w:rFonts w:ascii="Times New Roman" w:hAnsi="Times New Roman"/>
          <w:color w:val="000000"/>
          <w:sz w:val="24"/>
        </w:rPr>
        <w:t>1</w:t>
      </w:r>
      <w:bookmarkEnd w:id="3"/>
      <w:r>
        <w:rPr>
          <w:rFonts w:hint="eastAsia" w:ascii="Times New Roman" w:hAnsi="Times New Roman"/>
          <w:color w:val="000000"/>
          <w:sz w:val="24"/>
        </w:rPr>
        <w:t>g</w:t>
      </w:r>
      <w:r>
        <w:rPr>
          <w:rFonts w:ascii="Times New Roman" w:hAnsi="Times New Roman"/>
          <w:color w:val="000000"/>
          <w:sz w:val="24"/>
        </w:rPr>
        <w:t>，加</w:t>
      </w:r>
      <w:r>
        <w:rPr>
          <w:rFonts w:hint="eastAsia" w:ascii="Times New Roman" w:hAnsi="Times New Roman"/>
          <w:color w:val="000000"/>
          <w:sz w:val="24"/>
        </w:rPr>
        <w:t>75%</w:t>
      </w:r>
      <w:r>
        <w:rPr>
          <w:rFonts w:ascii="Times New Roman" w:hAnsi="Times New Roman"/>
          <w:color w:val="000000"/>
          <w:sz w:val="24"/>
        </w:rPr>
        <w:t>甲醇10m</w:t>
      </w:r>
      <w:r>
        <w:rPr>
          <w:rFonts w:hint="eastAsia" w:ascii="Times New Roman" w:hAnsi="Times New Roman"/>
          <w:color w:val="000000"/>
          <w:sz w:val="24"/>
        </w:rPr>
        <w:t>l</w:t>
      </w:r>
      <w:r>
        <w:rPr>
          <w:rFonts w:ascii="Times New Roman" w:hAnsi="Times New Roman"/>
          <w:color w:val="000000"/>
          <w:sz w:val="24"/>
        </w:rPr>
        <w:t>，超声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处理</w:t>
      </w:r>
      <w:r>
        <w:rPr>
          <w:rFonts w:hint="eastAsia" w:ascii="Times New Roman" w:hAnsi="Times New Roman"/>
          <w:color w:val="000000"/>
          <w:sz w:val="24"/>
        </w:rPr>
        <w:t>4</w:t>
      </w:r>
      <w:r>
        <w:rPr>
          <w:rFonts w:ascii="Times New Roman" w:hAnsi="Times New Roman"/>
          <w:color w:val="000000"/>
          <w:sz w:val="24"/>
        </w:rPr>
        <w:t>0</w:t>
      </w:r>
      <w:r>
        <w:rPr>
          <w:rFonts w:hint="eastAsia" w:ascii="Times New Roman" w:hAnsi="Times New Roman"/>
          <w:color w:val="000000"/>
          <w:sz w:val="24"/>
        </w:rPr>
        <w:t>分钟</w:t>
      </w:r>
      <w:r>
        <w:rPr>
          <w:rFonts w:ascii="Times New Roman" w:hAnsi="Times New Roman"/>
          <w:color w:val="000000"/>
          <w:sz w:val="24"/>
        </w:rPr>
        <w:t>，</w:t>
      </w:r>
      <w:r>
        <w:rPr>
          <w:rFonts w:hint="eastAsia" w:ascii="Times New Roman" w:hAnsi="Times New Roman"/>
          <w:color w:val="000000"/>
          <w:sz w:val="24"/>
        </w:rPr>
        <w:t>滤过，滤液</w:t>
      </w:r>
      <w:r>
        <w:rPr>
          <w:rFonts w:ascii="Times New Roman" w:hAnsi="Times New Roman"/>
          <w:color w:val="000000"/>
          <w:sz w:val="24"/>
        </w:rPr>
        <w:t>作为供试品溶液。</w:t>
      </w:r>
      <w:r>
        <w:rPr>
          <w:rFonts w:ascii="Times New Roman" w:hAnsi="Times New Roman"/>
          <w:sz w:val="24"/>
          <w:szCs w:val="24"/>
        </w:rPr>
        <w:t>另取木</w:t>
      </w:r>
      <w:r>
        <w:rPr>
          <w:rFonts w:hint="eastAsia" w:ascii="Times New Roman" w:hAnsi="Times New Roman"/>
          <w:sz w:val="24"/>
          <w:szCs w:val="24"/>
        </w:rPr>
        <w:t>榄</w:t>
      </w:r>
      <w:r>
        <w:rPr>
          <w:rFonts w:ascii="Times New Roman" w:hAnsi="Times New Roman"/>
          <w:sz w:val="24"/>
          <w:szCs w:val="24"/>
        </w:rPr>
        <w:t>对照药材1g，同法制成对照药材溶液。再取</w:t>
      </w:r>
      <w:r>
        <w:rPr>
          <w:rFonts w:hint="eastAsia" w:ascii="Times New Roman" w:hAnsi="Times New Roman"/>
          <w:sz w:val="24"/>
          <w:szCs w:val="24"/>
        </w:rPr>
        <w:t>芦丁</w:t>
      </w:r>
      <w:r>
        <w:rPr>
          <w:rFonts w:ascii="Times New Roman" w:hAnsi="Times New Roman"/>
          <w:sz w:val="24"/>
          <w:szCs w:val="24"/>
        </w:rPr>
        <w:t>对照品，加甲醇制成每1m</w:t>
      </w:r>
      <w:r>
        <w:rPr>
          <w:rFonts w:hint="eastAsia"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含</w:t>
      </w:r>
      <w:r>
        <w:rPr>
          <w:rFonts w:hint="eastAsia" w:ascii="Times New Roman" w:hAnsi="Times New Roman"/>
          <w:sz w:val="24"/>
          <w:szCs w:val="24"/>
        </w:rPr>
        <w:t>0.2</w:t>
      </w:r>
      <w:r>
        <w:rPr>
          <w:rFonts w:ascii="Times New Roman" w:hAnsi="Times New Roman"/>
          <w:sz w:val="24"/>
          <w:szCs w:val="24"/>
        </w:rPr>
        <w:t>mg的溶液，作为对照品溶液。照薄层色谱法</w:t>
      </w:r>
      <w:r>
        <w:rPr>
          <w:rFonts w:hint="eastAsia" w:ascii="Times New Roman" w:hAnsi="Times New Roman"/>
          <w:sz w:val="24"/>
          <w:szCs w:val="24"/>
        </w:rPr>
        <w:t>（《中国药典》2025年版</w:t>
      </w:r>
      <w:r>
        <w:rPr>
          <w:rFonts w:ascii="Times New Roman" w:hAnsi="Times New Roman"/>
          <w:sz w:val="24"/>
          <w:szCs w:val="24"/>
        </w:rPr>
        <w:t>通则0502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试验，吸取</w:t>
      </w:r>
      <w:r>
        <w:rPr>
          <w:rFonts w:hint="eastAsia" w:ascii="Times New Roman" w:hAnsi="Times New Roman"/>
          <w:sz w:val="24"/>
          <w:szCs w:val="24"/>
        </w:rPr>
        <w:t>上述三种溶液各</w:t>
      </w:r>
      <w:r>
        <w:rPr>
          <w:rFonts w:hint="eastAsia"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μ</w:t>
      </w:r>
      <w:r>
        <w:rPr>
          <w:rFonts w:hint="eastAsia"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，分别点于同一硅胶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hint="eastAsia" w:ascii="Times New Roman" w:hAnsi="Times New Roman"/>
          <w:sz w:val="24"/>
          <w:szCs w:val="24"/>
        </w:rPr>
        <w:t>F</w:t>
      </w:r>
      <w:r>
        <w:rPr>
          <w:rFonts w:hint="eastAsia" w:ascii="Times New Roman" w:hAnsi="Times New Roman"/>
          <w:sz w:val="24"/>
          <w:szCs w:val="24"/>
          <w:vertAlign w:val="subscript"/>
        </w:rPr>
        <w:t>254</w:t>
      </w:r>
      <w:r>
        <w:rPr>
          <w:rFonts w:ascii="Times New Roman" w:hAnsi="Times New Roman"/>
          <w:color w:val="000000"/>
          <w:sz w:val="24"/>
          <w:szCs w:val="24"/>
        </w:rPr>
        <w:t>薄层板上，</w:t>
      </w:r>
      <w:r>
        <w:rPr>
          <w:rFonts w:ascii="Times New Roman" w:hAnsi="Times New Roman"/>
          <w:sz w:val="24"/>
          <w:szCs w:val="24"/>
        </w:rPr>
        <w:t>以乙酸乙酯</w:t>
      </w:r>
      <w:r>
        <w:rPr>
          <w:rFonts w:hint="eastAsia"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甲</w:t>
      </w:r>
      <w:r>
        <w:rPr>
          <w:rFonts w:hint="eastAsia" w:ascii="Times New Roman" w:hAnsi="Times New Roman"/>
          <w:sz w:val="24"/>
          <w:szCs w:val="24"/>
        </w:rPr>
        <w:t>酸</w:t>
      </w:r>
      <w:r>
        <w:rPr>
          <w:rFonts w:hint="eastAsia"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水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7:1:1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为展开剂，展开，</w:t>
      </w:r>
      <w:r>
        <w:rPr>
          <w:rFonts w:ascii="Times New Roman" w:hAnsi="Times New Roman"/>
          <w:color w:val="000000"/>
          <w:sz w:val="24"/>
          <w:szCs w:val="24"/>
        </w:rPr>
        <w:t>取出，晾干，喷以</w:t>
      </w:r>
      <w:r>
        <w:rPr>
          <w:rFonts w:hint="eastAsia" w:ascii="Times New Roman" w:hAnsi="Times New Roman"/>
          <w:sz w:val="24"/>
        </w:rPr>
        <w:t>3%三氯化铝乙醇溶液</w:t>
      </w:r>
      <w:r>
        <w:rPr>
          <w:rFonts w:ascii="Times New Roman" w:hAnsi="Times New Roman"/>
          <w:color w:val="000000"/>
          <w:sz w:val="24"/>
          <w:szCs w:val="24"/>
        </w:rPr>
        <w:t>，在105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℃</w:t>
      </w:r>
      <w:r>
        <w:rPr>
          <w:rFonts w:ascii="Times New Roman" w:hAnsi="Times New Roman"/>
          <w:color w:val="000000"/>
          <w:sz w:val="24"/>
          <w:szCs w:val="24"/>
        </w:rPr>
        <w:t>加热至斑点显色清晰，置紫外光灯(365nm)下检视。供试品色谱中，在与对照药材色谱和对照品色谱相应的位置上，显相同颜色的荧光斑点。</w:t>
      </w:r>
    </w:p>
    <w:p>
      <w:pPr>
        <w:spacing w:line="360" w:lineRule="auto"/>
        <w:ind w:firstLine="480" w:firstLineChars="20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【检查】水分</w:t>
      </w:r>
      <w:r>
        <w:rPr>
          <w:rFonts w:ascii="Times New Roman" w:hAnsi="Times New Roman"/>
          <w:color w:val="000000"/>
          <w:sz w:val="24"/>
          <w:szCs w:val="24"/>
        </w:rPr>
        <w:t xml:space="preserve">  不得过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.0%</w:t>
      </w:r>
      <w:r>
        <w:rPr>
          <w:rFonts w:ascii="Times New Roman" w:hAnsi="Times New Roman"/>
          <w:color w:val="000000"/>
          <w:sz w:val="24"/>
        </w:rPr>
        <w:t>（</w:t>
      </w:r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年版通则0832第二法）</w:t>
      </w:r>
      <w:r>
        <w:rPr>
          <w:rFonts w:ascii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总灰分</w:t>
      </w:r>
      <w:r>
        <w:rPr>
          <w:rFonts w:ascii="Times New Roman" w:hAnsi="Times New Roman"/>
          <w:color w:val="000000"/>
          <w:sz w:val="24"/>
          <w:szCs w:val="24"/>
        </w:rPr>
        <w:t xml:space="preserve">  不得过</w:t>
      </w:r>
      <w:r>
        <w:rPr>
          <w:rFonts w:hint="eastAsia"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color w:val="000000"/>
          <w:sz w:val="24"/>
          <w:szCs w:val="24"/>
        </w:rPr>
        <w:t>（</w:t>
      </w:r>
      <w:bookmarkStart w:id="4" w:name="OLE_LINK120"/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</w:t>
      </w:r>
      <w:r>
        <w:rPr>
          <w:rFonts w:ascii="Times New Roman" w:hAnsi="Times New Roman"/>
          <w:color w:val="000000"/>
          <w:sz w:val="24"/>
          <w:szCs w:val="24"/>
        </w:rPr>
        <w:t>通则230</w:t>
      </w:r>
      <w:bookmarkEnd w:id="4"/>
      <w:r>
        <w:rPr>
          <w:rFonts w:ascii="Times New Roman" w:hAnsi="Times New Roman"/>
          <w:color w:val="000000"/>
          <w:sz w:val="24"/>
          <w:szCs w:val="24"/>
        </w:rPr>
        <w:t>2）。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【浸出物】</w:t>
      </w:r>
      <w:r>
        <w:rPr>
          <w:rFonts w:hint="eastAsia" w:ascii="Times New Roman" w:hAnsi="Times New Roman"/>
          <w:color w:val="000000"/>
          <w:sz w:val="24"/>
          <w:szCs w:val="24"/>
        </w:rPr>
        <w:t>照醇溶性浸出物测定法</w:t>
      </w: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</w:t>
      </w:r>
      <w:r>
        <w:rPr>
          <w:rFonts w:ascii="Times New Roman" w:hAnsi="Times New Roman"/>
          <w:color w:val="000000"/>
          <w:sz w:val="24"/>
          <w:szCs w:val="24"/>
        </w:rPr>
        <w:t>通则2201）</w:t>
      </w:r>
      <w:r>
        <w:rPr>
          <w:rFonts w:hint="eastAsia" w:ascii="Times New Roman" w:hAnsi="Times New Roman"/>
          <w:color w:val="000000"/>
          <w:sz w:val="24"/>
          <w:szCs w:val="24"/>
        </w:rPr>
        <w:t>项下的热浸法测定，用75%乙醇作溶剂，</w:t>
      </w:r>
      <w:r>
        <w:rPr>
          <w:rFonts w:ascii="Times New Roman" w:hAnsi="Times New Roman"/>
          <w:color w:val="000000"/>
          <w:sz w:val="24"/>
          <w:szCs w:val="24"/>
        </w:rPr>
        <w:t>不得少于</w:t>
      </w:r>
      <w:r>
        <w:rPr>
          <w:rFonts w:hint="eastAsia" w:ascii="Times New Roman" w:hAnsi="Times New Roman"/>
          <w:sz w:val="24"/>
          <w:szCs w:val="24"/>
          <w:highlight w:val="none"/>
        </w:rPr>
        <w:t>18</w:t>
      </w:r>
      <w:r>
        <w:rPr>
          <w:rFonts w:ascii="Times New Roman" w:hAnsi="Times New Roman"/>
          <w:sz w:val="24"/>
          <w:szCs w:val="24"/>
          <w:highlight w:val="none"/>
        </w:rPr>
        <w:t>.0%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360" w:lineRule="auto"/>
        <w:ind w:firstLine="360" w:firstLineChars="15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【含量测定】</w:t>
      </w:r>
      <w:r>
        <w:rPr>
          <w:rFonts w:ascii="Times New Roman"/>
          <w:color w:val="000000"/>
          <w:sz w:val="24"/>
        </w:rPr>
        <w:t>照高效液相色谱法（</w:t>
      </w:r>
      <w:r>
        <w:rPr>
          <w:rFonts w:hint="eastAsia" w:ascii="Times New Roman" w:hAnsi="Times New Roman"/>
          <w:color w:val="000000"/>
          <w:sz w:val="24"/>
        </w:rPr>
        <w:t>《</w:t>
      </w:r>
      <w:r>
        <w:rPr>
          <w:rFonts w:ascii="Times New Roman" w:hAnsi="Times New Roman"/>
          <w:color w:val="000000"/>
          <w:sz w:val="24"/>
        </w:rPr>
        <w:t>中国药典</w:t>
      </w:r>
      <w:r>
        <w:rPr>
          <w:rFonts w:hint="eastAsia" w:ascii="Times New Roman" w:hAnsi="Times New Roman"/>
          <w:color w:val="000000"/>
          <w:sz w:val="24"/>
        </w:rPr>
        <w:t>》</w:t>
      </w:r>
      <w:r>
        <w:rPr>
          <w:rFonts w:ascii="Times New Roman" w:hAnsi="Times New Roman"/>
          <w:color w:val="000000"/>
          <w:sz w:val="24"/>
        </w:rPr>
        <w:t>20</w:t>
      </w:r>
      <w:r>
        <w:rPr>
          <w:rFonts w:hint="eastAsia" w:ascii="Times New Roman" w:hAnsi="Times New Roman"/>
          <w:color w:val="000000"/>
          <w:sz w:val="24"/>
        </w:rPr>
        <w:t>25</w:t>
      </w:r>
      <w:r>
        <w:rPr>
          <w:rFonts w:ascii="Times New Roman" w:hAnsi="Times New Roman"/>
          <w:color w:val="000000"/>
          <w:sz w:val="24"/>
        </w:rPr>
        <w:t>年版</w:t>
      </w:r>
      <w:r>
        <w:rPr>
          <w:rFonts w:ascii="Times New Roman"/>
          <w:color w:val="000000"/>
          <w:sz w:val="24"/>
        </w:rPr>
        <w:t>通则</w:t>
      </w:r>
      <w:r>
        <w:rPr>
          <w:rFonts w:ascii="Times New Roman" w:hAnsi="Times New Roman"/>
          <w:color w:val="000000"/>
          <w:sz w:val="24"/>
        </w:rPr>
        <w:t>0512</w:t>
      </w:r>
      <w:r>
        <w:rPr>
          <w:rFonts w:ascii="Times New Roman"/>
          <w:color w:val="000000"/>
          <w:sz w:val="24"/>
        </w:rPr>
        <w:t>）测定。</w:t>
      </w:r>
    </w:p>
    <w:p>
      <w:pPr>
        <w:spacing w:line="360" w:lineRule="auto"/>
        <w:ind w:firstLine="4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色谱条件与系统适用性试验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以十八烷基硅烷键合硅胶为填充剂；以</w:t>
      </w:r>
      <w:r>
        <w:rPr>
          <w:rFonts w:hint="eastAsia" w:ascii="Times New Roman" w:hAnsi="Times New Roman"/>
          <w:color w:val="000000"/>
          <w:sz w:val="24"/>
          <w:szCs w:val="24"/>
        </w:rPr>
        <w:t>甲醇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为流动相A，以</w:t>
      </w:r>
      <w:r>
        <w:rPr>
          <w:rFonts w:ascii="Times New Roman" w:hAnsi="Times New Roman"/>
          <w:color w:val="000000"/>
          <w:sz w:val="24"/>
          <w:szCs w:val="24"/>
        </w:rPr>
        <w:t>0.1%</w:t>
      </w:r>
      <w:r>
        <w:rPr>
          <w:rFonts w:hint="eastAsia" w:ascii="Times New Roman" w:hAnsi="Times New Roman"/>
          <w:color w:val="000000"/>
          <w:sz w:val="24"/>
          <w:szCs w:val="24"/>
        </w:rPr>
        <w:t>磷</w:t>
      </w:r>
      <w:r>
        <w:rPr>
          <w:rFonts w:ascii="Times New Roman" w:hAnsi="Times New Roman"/>
          <w:color w:val="000000"/>
          <w:sz w:val="24"/>
          <w:szCs w:val="24"/>
        </w:rPr>
        <w:t>酸溶液为流动相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B，按下表规定的梯度进行洗脱，</w:t>
      </w:r>
      <w:r>
        <w:rPr>
          <w:rFonts w:ascii="Times New Roman" w:hAnsi="Times New Roman"/>
          <w:color w:val="000000"/>
          <w:sz w:val="24"/>
          <w:szCs w:val="24"/>
        </w:rPr>
        <w:t>检测波长为35</w:t>
      </w:r>
      <w:r>
        <w:rPr>
          <w:rFonts w:hint="eastAsia"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nm。理论板数按</w:t>
      </w:r>
      <w:r>
        <w:rPr>
          <w:rFonts w:hint="eastAsia" w:ascii="Times New Roman" w:hAnsi="Times New Roman"/>
          <w:kern w:val="0"/>
          <w:sz w:val="24"/>
          <w:szCs w:val="24"/>
        </w:rPr>
        <w:t>芦丁</w:t>
      </w:r>
      <w:r>
        <w:rPr>
          <w:rFonts w:ascii="Times New Roman" w:hAnsi="Times New Roman"/>
          <w:color w:val="000000"/>
          <w:sz w:val="24"/>
          <w:szCs w:val="24"/>
        </w:rPr>
        <w:t>峰计算应不低于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5000</w:t>
      </w:r>
      <w:r>
        <w:rPr>
          <w:rFonts w:ascii="Times New Roman" w:hAnsi="Times New Roman"/>
          <w:color w:val="000000"/>
          <w:sz w:val="24"/>
          <w:szCs w:val="24"/>
        </w:rPr>
        <w:t>。</w:t>
      </w:r>
    </w:p>
    <w:p>
      <w:pPr>
        <w:spacing w:line="360" w:lineRule="auto"/>
        <w:ind w:firstLine="480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17"/>
        <w:tblW w:w="8379" w:type="dxa"/>
        <w:tblInd w:w="93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3"/>
        <w:gridCol w:w="2793"/>
        <w:gridCol w:w="279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2793" w:type="dxa"/>
            <w:tcBorders>
              <w:bottom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时间（</w:t>
            </w:r>
            <w:r>
              <w:rPr>
                <w:rFonts w:hint="eastAsia" w:ascii="Times New Roman" w:hAnsi="Times New Roman"/>
                <w:kern w:val="0"/>
                <w:sz w:val="22"/>
                <w:lang w:val="en-US" w:eastAsia="zh-CN"/>
              </w:rPr>
              <w:t>分钟</w:t>
            </w:r>
            <w:r>
              <w:rPr>
                <w:rFonts w:ascii="Times New Roman" w:hAnsi="Times New Roman"/>
                <w:kern w:val="0"/>
                <w:sz w:val="22"/>
              </w:rPr>
              <w:t>）</w:t>
            </w:r>
          </w:p>
        </w:tc>
        <w:tc>
          <w:tcPr>
            <w:tcW w:w="2793" w:type="dxa"/>
            <w:tcBorders>
              <w:bottom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流动相A（%）</w:t>
            </w:r>
          </w:p>
        </w:tc>
        <w:tc>
          <w:tcPr>
            <w:tcW w:w="2793" w:type="dxa"/>
            <w:tcBorders>
              <w:bottom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流动相B（%）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tcBorders>
              <w:top w:val="single" w:color="auto" w:sz="4" w:space="0"/>
            </w:tcBorders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0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5</w:t>
            </w:r>
          </w:p>
        </w:tc>
        <w:tc>
          <w:tcPr>
            <w:tcW w:w="2793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30</w:t>
            </w:r>
          </w:p>
        </w:tc>
        <w:tc>
          <w:tcPr>
            <w:tcW w:w="2793" w:type="dxa"/>
            <w:tcBorders>
              <w:top w:val="single" w:color="auto" w:sz="4" w:space="0"/>
            </w:tcBorders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5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10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30→35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70→65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10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20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35→47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65→53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20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21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47→48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53→52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21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25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48→67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52→33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25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26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67→72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33→28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793" w:type="dxa"/>
            <w:noWrap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  <w:lang w:val="zh-CN"/>
              </w:rPr>
              <w:t>26</w:t>
            </w:r>
            <w:r>
              <w:rPr>
                <w:rFonts w:ascii="Times New Roman" w:hAnsi="Times New Roman" w:eastAsia="微软雅黑"/>
                <w:szCs w:val="21"/>
                <w:lang w:val="zh-CN"/>
              </w:rPr>
              <w:t>~</w:t>
            </w:r>
            <w:r>
              <w:rPr>
                <w:rFonts w:ascii="Times New Roman" w:hAnsi="Times New Roman" w:eastAsia="仿宋_GB2312"/>
                <w:szCs w:val="21"/>
                <w:lang w:val="zh-CN"/>
              </w:rPr>
              <w:t>30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72→78</w:t>
            </w:r>
          </w:p>
        </w:tc>
        <w:tc>
          <w:tcPr>
            <w:tcW w:w="2793" w:type="dxa"/>
            <w:noWrap/>
            <w:vAlign w:val="bottom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28→22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对照品溶液的制备</w:t>
      </w:r>
      <w:r>
        <w:rPr>
          <w:rFonts w:ascii="Times New Roman" w:hAnsi="Times New Roman"/>
          <w:color w:val="000000"/>
          <w:sz w:val="24"/>
          <w:szCs w:val="24"/>
        </w:rPr>
        <w:t xml:space="preserve">  取</w:t>
      </w:r>
      <w:r>
        <w:rPr>
          <w:rFonts w:hint="eastAsia" w:ascii="Times New Roman" w:hAnsi="Times New Roman"/>
          <w:kern w:val="0"/>
          <w:sz w:val="24"/>
          <w:szCs w:val="24"/>
        </w:rPr>
        <w:t>芦丁</w:t>
      </w:r>
      <w:r>
        <w:rPr>
          <w:rFonts w:ascii="Times New Roman" w:hAnsi="Times New Roman"/>
          <w:kern w:val="0"/>
          <w:sz w:val="24"/>
          <w:szCs w:val="24"/>
        </w:rPr>
        <w:t>对</w:t>
      </w:r>
      <w:r>
        <w:rPr>
          <w:rFonts w:ascii="Times New Roman" w:hAnsi="Times New Roman"/>
          <w:color w:val="000000"/>
          <w:sz w:val="24"/>
          <w:szCs w:val="24"/>
        </w:rPr>
        <w:t>照品适量，精密称定，加甲醇</w:t>
      </w:r>
      <w:r>
        <w:rPr>
          <w:rFonts w:ascii="Times New Roman" w:hAnsi="Times New Roman"/>
          <w:kern w:val="0"/>
          <w:sz w:val="24"/>
          <w:szCs w:val="24"/>
        </w:rPr>
        <w:t>制成每1m</w:t>
      </w:r>
      <w:r>
        <w:rPr>
          <w:rFonts w:hint="eastAsia" w:ascii="Times New Roman" w:hAnsi="Times New Roman"/>
          <w:kern w:val="0"/>
          <w:sz w:val="24"/>
          <w:szCs w:val="24"/>
        </w:rPr>
        <w:t>l</w:t>
      </w:r>
      <w:r>
        <w:rPr>
          <w:rFonts w:ascii="Times New Roman" w:hAnsi="Times New Roman"/>
          <w:kern w:val="0"/>
          <w:sz w:val="24"/>
          <w:szCs w:val="24"/>
        </w:rPr>
        <w:t>含0.2mg的溶液，</w:t>
      </w:r>
      <w:r>
        <w:rPr>
          <w:rFonts w:ascii="Times New Roman" w:hAnsi="Times New Roman"/>
          <w:color w:val="000000"/>
          <w:sz w:val="24"/>
          <w:szCs w:val="24"/>
        </w:rPr>
        <w:t>即得。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供试品溶液的制备</w:t>
      </w:r>
      <w:r>
        <w:rPr>
          <w:rFonts w:ascii="Times New Roman" w:hAnsi="Times New Roman"/>
          <w:color w:val="000000"/>
          <w:sz w:val="24"/>
          <w:szCs w:val="24"/>
        </w:rPr>
        <w:t xml:space="preserve">  取本品粉末</w:t>
      </w:r>
      <w:r>
        <w:rPr>
          <w:rFonts w:hint="eastAsia" w:ascii="Times New Roman" w:hAnsi="Times New Roman"/>
          <w:color w:val="000000"/>
          <w:sz w:val="24"/>
          <w:szCs w:val="24"/>
        </w:rPr>
        <w:t>（过三号筛）</w:t>
      </w:r>
      <w:r>
        <w:rPr>
          <w:rFonts w:ascii="Times New Roman" w:hAnsi="Times New Roman"/>
          <w:color w:val="000000"/>
          <w:sz w:val="24"/>
          <w:szCs w:val="24"/>
        </w:rPr>
        <w:t>约1</w:t>
      </w:r>
      <w:r>
        <w:rPr>
          <w:rFonts w:hint="eastAsia" w:ascii="Times New Roman" w:hAnsi="Times New Roman"/>
          <w:color w:val="000000"/>
          <w:sz w:val="24"/>
          <w:szCs w:val="24"/>
        </w:rPr>
        <w:t>.0</w:t>
      </w:r>
      <w:r>
        <w:rPr>
          <w:rFonts w:ascii="Times New Roman" w:hAnsi="Times New Roman"/>
          <w:color w:val="000000"/>
          <w:sz w:val="24"/>
          <w:szCs w:val="24"/>
        </w:rPr>
        <w:t>g，精密称定，置具塞锥形瓶中，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精密加入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75%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甲醇溶液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10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m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l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，密塞，称定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重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量，超声处理（功率500W，频率40kHz）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30分钟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，放冷，再称定重量，用</w:t>
      </w:r>
      <w:r>
        <w:rPr>
          <w:rFonts w:hint="eastAsia" w:ascii="Times New Roman" w:hAnsi="Times New Roman"/>
          <w:color w:val="000000"/>
          <w:kern w:val="0"/>
          <w:sz w:val="24"/>
          <w:szCs w:val="24"/>
          <w:lang w:bidi="ar"/>
        </w:rPr>
        <w:t>75%</w:t>
      </w:r>
      <w:r>
        <w:rPr>
          <w:rFonts w:ascii="Times New Roman" w:hAnsi="Times New Roman"/>
          <w:color w:val="000000"/>
          <w:kern w:val="0"/>
          <w:sz w:val="24"/>
          <w:szCs w:val="24"/>
          <w:lang w:bidi="ar"/>
        </w:rPr>
        <w:t>甲醇补足损失量，</w:t>
      </w:r>
      <w:r>
        <w:rPr>
          <w:rFonts w:ascii="Times New Roman" w:hAnsi="Times New Roman"/>
          <w:color w:val="000000"/>
          <w:sz w:val="24"/>
          <w:szCs w:val="24"/>
        </w:rPr>
        <w:t>摇匀，滤过，取续滤液，即得。</w:t>
      </w:r>
    </w:p>
    <w:p>
      <w:pPr>
        <w:spacing w:line="360" w:lineRule="auto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测定法</w:t>
      </w:r>
      <w:r>
        <w:rPr>
          <w:rFonts w:ascii="Times New Roman" w:hAnsi="Times New Roman"/>
          <w:color w:val="000000"/>
          <w:sz w:val="24"/>
          <w:szCs w:val="24"/>
        </w:rPr>
        <w:t xml:space="preserve">  分别精密吸取对照品溶液与供试品溶液各10µ</w:t>
      </w:r>
      <w:r>
        <w:rPr>
          <w:rFonts w:hint="eastAsia"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，注入液相色谱仪，测定，即得。</w:t>
      </w:r>
    </w:p>
    <w:p>
      <w:pPr>
        <w:spacing w:line="360" w:lineRule="auto"/>
        <w:ind w:firstLine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本品按干燥品计算，含</w:t>
      </w:r>
      <w:r>
        <w:rPr>
          <w:rFonts w:hint="eastAsia" w:ascii="Times New Roman" w:hAnsi="Times New Roman"/>
          <w:kern w:val="0"/>
          <w:sz w:val="24"/>
          <w:szCs w:val="24"/>
        </w:rPr>
        <w:t>芦丁（</w:t>
      </w:r>
      <w:r>
        <w:rPr>
          <w:rFonts w:ascii="Times New Roman" w:hAnsi="Times New Roman"/>
          <w:kern w:val="0"/>
          <w:sz w:val="24"/>
          <w:szCs w:val="24"/>
        </w:rPr>
        <w:t>C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/>
          <w:kern w:val="0"/>
          <w:sz w:val="24"/>
          <w:szCs w:val="24"/>
          <w:vertAlign w:val="subscript"/>
        </w:rPr>
        <w:t>7</w:t>
      </w:r>
      <w:r>
        <w:rPr>
          <w:rFonts w:ascii="Times New Roman" w:hAnsi="Times New Roman"/>
          <w:kern w:val="0"/>
          <w:sz w:val="24"/>
          <w:szCs w:val="24"/>
        </w:rPr>
        <w:t>H</w:t>
      </w:r>
      <w:r>
        <w:rPr>
          <w:rFonts w:hint="eastAsia" w:ascii="Times New Roman" w:hAnsi="Times New Roman"/>
          <w:kern w:val="0"/>
          <w:sz w:val="24"/>
          <w:szCs w:val="24"/>
          <w:vertAlign w:val="subscript"/>
        </w:rPr>
        <w:t>30</w:t>
      </w:r>
      <w:r>
        <w:rPr>
          <w:rFonts w:ascii="Times New Roman" w:hAnsi="Times New Roman"/>
          <w:kern w:val="0"/>
          <w:sz w:val="24"/>
          <w:szCs w:val="24"/>
        </w:rPr>
        <w:t>O</w:t>
      </w:r>
      <w:r>
        <w:rPr>
          <w:rFonts w:ascii="Times New Roman" w:hAnsi="Times New Roman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/>
          <w:kern w:val="0"/>
          <w:sz w:val="24"/>
          <w:szCs w:val="24"/>
          <w:vertAlign w:val="subscript"/>
        </w:rPr>
        <w:t>6</w:t>
      </w:r>
      <w:r>
        <w:rPr>
          <w:rFonts w:hint="eastAsia" w:ascii="Times New Roman" w:hAnsi="Times New Roman"/>
          <w:kern w:val="0"/>
          <w:sz w:val="24"/>
          <w:szCs w:val="24"/>
        </w:rPr>
        <w:t>）</w:t>
      </w:r>
      <w:r>
        <w:rPr>
          <w:rFonts w:ascii="Times New Roman" w:hAnsi="Times New Roman"/>
          <w:kern w:val="0"/>
          <w:sz w:val="24"/>
          <w:szCs w:val="24"/>
        </w:rPr>
        <w:t>不得</w:t>
      </w:r>
      <w:r>
        <w:rPr>
          <w:rFonts w:ascii="Times New Roman" w:hAnsi="Times New Roman"/>
          <w:color w:val="000000"/>
          <w:sz w:val="24"/>
          <w:szCs w:val="24"/>
        </w:rPr>
        <w:t>少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0.16%</w:t>
      </w:r>
      <w:r>
        <w:rPr>
          <w:rFonts w:ascii="Times New Roman" w:hAnsi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2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24"/>
          <w:szCs w:val="24"/>
          <w:lang w:eastAsia="zh-CN"/>
        </w:rPr>
        <w:t>【</w:t>
      </w:r>
      <w:r>
        <w:rPr>
          <w:rFonts w:hint="eastAsia" w:ascii="Times New Roman" w:hAnsi="Times New Roman" w:eastAsia="黑体"/>
          <w:color w:val="000000"/>
          <w:sz w:val="24"/>
          <w:szCs w:val="24"/>
          <w:lang w:val="en-US" w:eastAsia="zh-CN"/>
        </w:rPr>
        <w:t>炮制</w:t>
      </w:r>
      <w:r>
        <w:rPr>
          <w:rFonts w:hint="eastAsia" w:ascii="Times New Roman" w:hAnsi="Times New Roman" w:eastAsia="黑体"/>
          <w:color w:val="000000"/>
          <w:sz w:val="24"/>
          <w:szCs w:val="24"/>
          <w:lang w:eastAsia="zh-CN"/>
        </w:rPr>
        <w:t>】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除去杂质，切段，干燥。</w:t>
      </w:r>
    </w:p>
    <w:p>
      <w:pPr>
        <w:spacing w:line="360" w:lineRule="auto"/>
        <w:ind w:firstLine="420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苦、涩，寒。归肺、大肠经。</w:t>
      </w:r>
    </w:p>
    <w:p>
      <w:pPr>
        <w:spacing w:line="360" w:lineRule="auto"/>
        <w:ind w:firstLine="420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:lang w:val="en-US" w:eastAsia="zh-CN"/>
        </w:rPr>
        <w:t>功能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清热解毒，涩肠止泻，收敛止血。用于咽喉肿痛，疮痈肿痛，湿热下痢，腹泻，外伤出血。</w:t>
      </w:r>
    </w:p>
    <w:p>
      <w:pPr>
        <w:spacing w:line="360" w:lineRule="auto"/>
        <w:ind w:firstLine="42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:lang w:val="en-US" w:eastAsia="zh-CN"/>
        </w:rPr>
        <w:t>用法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15～30g。外用适量，研末调涂或煎水洗。</w:t>
      </w:r>
    </w:p>
    <w:p>
      <w:pPr>
        <w:spacing w:line="360" w:lineRule="auto"/>
        <w:ind w:firstLine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4"/>
          <w:szCs w:val="24"/>
        </w:rPr>
        <w:t>【贮藏】</w:t>
      </w:r>
      <w:r>
        <w:rPr>
          <w:rFonts w:ascii="Times New Roman" w:hAnsi="Times New Roman"/>
          <w:color w:val="000000"/>
          <w:sz w:val="24"/>
          <w:szCs w:val="24"/>
        </w:rPr>
        <w:t>置阴凉干燥处。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EC5"/>
    <w:rsid w:val="00007FE5"/>
    <w:rsid w:val="0002586D"/>
    <w:rsid w:val="000A29F5"/>
    <w:rsid w:val="00167635"/>
    <w:rsid w:val="00167A03"/>
    <w:rsid w:val="00172BFD"/>
    <w:rsid w:val="001A6787"/>
    <w:rsid w:val="001E3CC1"/>
    <w:rsid w:val="001F32D2"/>
    <w:rsid w:val="001F3CB6"/>
    <w:rsid w:val="0022745D"/>
    <w:rsid w:val="00373FAA"/>
    <w:rsid w:val="0041154A"/>
    <w:rsid w:val="004171B9"/>
    <w:rsid w:val="004808A1"/>
    <w:rsid w:val="004B1CEC"/>
    <w:rsid w:val="004E17A3"/>
    <w:rsid w:val="00524DB9"/>
    <w:rsid w:val="00542B11"/>
    <w:rsid w:val="005A0E68"/>
    <w:rsid w:val="005B39DD"/>
    <w:rsid w:val="00602A30"/>
    <w:rsid w:val="006328DD"/>
    <w:rsid w:val="00634EA6"/>
    <w:rsid w:val="006A78C0"/>
    <w:rsid w:val="006E6F64"/>
    <w:rsid w:val="006F1F2E"/>
    <w:rsid w:val="007972BC"/>
    <w:rsid w:val="007B5A7E"/>
    <w:rsid w:val="007B7EC5"/>
    <w:rsid w:val="007E6921"/>
    <w:rsid w:val="008642DB"/>
    <w:rsid w:val="00865B14"/>
    <w:rsid w:val="00897E2A"/>
    <w:rsid w:val="008D7D2A"/>
    <w:rsid w:val="0094057F"/>
    <w:rsid w:val="00BD4597"/>
    <w:rsid w:val="00BE2CB4"/>
    <w:rsid w:val="00BE6DEF"/>
    <w:rsid w:val="00C2724B"/>
    <w:rsid w:val="00C447A6"/>
    <w:rsid w:val="00CB27AA"/>
    <w:rsid w:val="00CF7952"/>
    <w:rsid w:val="00DC3144"/>
    <w:rsid w:val="00DD2D27"/>
    <w:rsid w:val="00DE7BBF"/>
    <w:rsid w:val="00E2422D"/>
    <w:rsid w:val="00E309EA"/>
    <w:rsid w:val="00E42D86"/>
    <w:rsid w:val="00E753B2"/>
    <w:rsid w:val="00E94FA9"/>
    <w:rsid w:val="00E97C2D"/>
    <w:rsid w:val="00EE2C8D"/>
    <w:rsid w:val="00F04953"/>
    <w:rsid w:val="00FB44C5"/>
    <w:rsid w:val="00FC0C96"/>
    <w:rsid w:val="00FC1B13"/>
    <w:rsid w:val="00FF55BE"/>
    <w:rsid w:val="04D14CA5"/>
    <w:rsid w:val="288C5A50"/>
    <w:rsid w:val="326170B4"/>
    <w:rsid w:val="3FF54FB1"/>
    <w:rsid w:val="4767370B"/>
    <w:rsid w:val="53061553"/>
    <w:rsid w:val="6C7B51AA"/>
    <w:rsid w:val="7BFE3321"/>
    <w:rsid w:val="F7FB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widowControl/>
      <w:spacing w:line="360" w:lineRule="auto"/>
      <w:ind w:firstLine="482"/>
      <w:jc w:val="left"/>
      <w:outlineLvl w:val="0"/>
    </w:pPr>
    <w:rPr>
      <w:rFonts w:ascii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0"/>
    <w:unhideWhenUsed/>
    <w:qFormat/>
    <w:uiPriority w:val="99"/>
    <w:pPr>
      <w:jc w:val="left"/>
    </w:pPr>
  </w:style>
  <w:style w:type="paragraph" w:styleId="12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character" w:styleId="19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0">
    <w:name w:val="标题 1 Char"/>
    <w:basedOn w:val="18"/>
    <w:link w:val="2"/>
    <w:qFormat/>
    <w:uiPriority w:val="0"/>
    <w:rPr>
      <w:rFonts w:ascii="宋体" w:eastAsia="宋体" w:hAnsiTheme="majorHAnsi" w:cstheme="majorBidi"/>
      <w:b/>
      <w:color w:val="000000" w:themeColor="text1"/>
      <w:sz w:val="28"/>
      <w:szCs w:val="48"/>
      <w14:textFill>
        <w14:solidFill>
          <w14:schemeClr w14:val="tx1"/>
        </w14:solidFill>
      </w14:textFill>
    </w:rPr>
  </w:style>
  <w:style w:type="character" w:customStyle="1" w:styleId="21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Char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Char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Char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Char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Char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Char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Char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页眉 Char"/>
    <w:basedOn w:val="18"/>
    <w:link w:val="1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9">
    <w:name w:val="页脚 Char"/>
    <w:basedOn w:val="18"/>
    <w:link w:val="1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0">
    <w:name w:val="批注文字 Char"/>
    <w:basedOn w:val="18"/>
    <w:link w:val="11"/>
    <w:qFormat/>
    <w:uiPriority w:val="99"/>
    <w:rPr>
      <w:rFonts w:ascii="Calibri" w:hAnsi="Calibri" w:eastAsia="宋体" w:cs="Times New Roman"/>
    </w:rPr>
  </w:style>
  <w:style w:type="character" w:customStyle="1" w:styleId="41">
    <w:name w:val="批注主题 Char"/>
    <w:basedOn w:val="40"/>
    <w:link w:val="16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1063</Words>
  <Characters>1335</Characters>
  <Lines>10</Lines>
  <Paragraphs>3</Paragraphs>
  <TotalTime>0</TotalTime>
  <ScaleCrop>false</ScaleCrop>
  <LinksUpToDate>false</LinksUpToDate>
  <CharactersWithSpaces>1353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2025-10-22T01:20:00Z</dcterms:created>
  <dc:creator>凯 杨</dc:creator>
  <cp:lastModifiedBy>gxxc</cp:lastModifiedBy>
  <cp:lastPrinted>2025-11-10T01:26:00Z</cp:lastPrinted>
  <dcterms:modified xsi:type="dcterms:W3CDTF">2025-12-25T10:34:54Z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3D5441DB865440CCA7C6F760C00D9DAA_13</vt:lpwstr>
  </property>
</Properties>
</file>